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2" w:type="dxa"/>
        <w:tblLook w:val="04A0" w:firstRow="1" w:lastRow="0" w:firstColumn="1" w:lastColumn="0" w:noHBand="0" w:noVBand="1"/>
      </w:tblPr>
      <w:tblGrid>
        <w:gridCol w:w="10502"/>
      </w:tblGrid>
      <w:tr w:rsidR="00673914" w14:paraId="24818634" w14:textId="77777777" w:rsidTr="25B4BF30">
        <w:trPr>
          <w:trHeight w:val="335"/>
        </w:trPr>
        <w:tc>
          <w:tcPr>
            <w:tcW w:w="10502" w:type="dxa"/>
            <w:tcBorders>
              <w:bottom w:val="nil"/>
            </w:tcBorders>
          </w:tcPr>
          <w:p w14:paraId="7B1894A0" w14:textId="5AD35479" w:rsidR="00673914" w:rsidRPr="003E2FD8" w:rsidRDefault="79C8AB8F">
            <w:pPr>
              <w:rPr>
                <w:b/>
                <w:bCs/>
              </w:rPr>
            </w:pPr>
            <w:r w:rsidRPr="003E2FD8">
              <w:rPr>
                <w:b/>
                <w:bCs/>
              </w:rPr>
              <w:t>Presentation Title:</w:t>
            </w:r>
          </w:p>
          <w:p w14:paraId="4E5B6D6B" w14:textId="6FF0635A" w:rsidR="00673914" w:rsidRPr="00356193" w:rsidRDefault="008924E7" w:rsidP="009F235E">
            <w:r w:rsidRPr="008924E7">
              <w:t>Leveraging data analytics in the University of Hertfordshire’s LRCs</w:t>
            </w:r>
          </w:p>
        </w:tc>
      </w:tr>
      <w:tr w:rsidR="00673914" w14:paraId="411FF577" w14:textId="77777777" w:rsidTr="25B4BF30">
        <w:trPr>
          <w:trHeight w:val="309"/>
        </w:trPr>
        <w:tc>
          <w:tcPr>
            <w:tcW w:w="10502" w:type="dxa"/>
            <w:tcBorders>
              <w:top w:val="nil"/>
              <w:bottom w:val="single" w:sz="4" w:space="0" w:color="auto"/>
            </w:tcBorders>
          </w:tcPr>
          <w:p w14:paraId="180634B0" w14:textId="77777777" w:rsidR="00673914" w:rsidRDefault="00673914"/>
        </w:tc>
      </w:tr>
      <w:tr w:rsidR="00673914" w14:paraId="08864FF2" w14:textId="77777777" w:rsidTr="25B4BF30">
        <w:trPr>
          <w:trHeight w:val="309"/>
        </w:trPr>
        <w:tc>
          <w:tcPr>
            <w:tcW w:w="10502" w:type="dxa"/>
            <w:tcBorders>
              <w:bottom w:val="nil"/>
            </w:tcBorders>
          </w:tcPr>
          <w:p w14:paraId="62E1447A" w14:textId="613E02F0" w:rsidR="00673914" w:rsidRPr="003E2FD8" w:rsidRDefault="79C8AB8F" w:rsidP="25B4BF30">
            <w:pPr>
              <w:rPr>
                <w:b/>
                <w:bCs/>
                <w:color w:val="EE0000"/>
              </w:rPr>
            </w:pPr>
            <w:r w:rsidRPr="003E2FD8">
              <w:rPr>
                <w:b/>
                <w:bCs/>
              </w:rPr>
              <w:t>Presentation Author</w:t>
            </w:r>
            <w:r w:rsidR="151C8F84" w:rsidRPr="003E2FD8">
              <w:rPr>
                <w:b/>
                <w:bCs/>
              </w:rPr>
              <w:t xml:space="preserve"> and </w:t>
            </w:r>
            <w:r w:rsidR="3AF2CFF7" w:rsidRPr="003E2FD8">
              <w:rPr>
                <w:b/>
                <w:bCs/>
              </w:rPr>
              <w:t>I</w:t>
            </w:r>
            <w:r w:rsidR="151C8F84" w:rsidRPr="003E2FD8">
              <w:rPr>
                <w:b/>
                <w:bCs/>
              </w:rPr>
              <w:t>nstitution</w:t>
            </w:r>
            <w:r w:rsidRPr="003E2FD8">
              <w:rPr>
                <w:b/>
                <w:bCs/>
              </w:rPr>
              <w:t>:</w:t>
            </w:r>
            <w:r w:rsidR="419AADAA" w:rsidRPr="003E2FD8">
              <w:rPr>
                <w:b/>
                <w:bCs/>
              </w:rPr>
              <w:t xml:space="preserve"> </w:t>
            </w:r>
          </w:p>
          <w:p w14:paraId="0218B28C" w14:textId="703651F6" w:rsidR="00673914" w:rsidRDefault="00286780" w:rsidP="009F235E">
            <w:r w:rsidRPr="00286780">
              <w:t>Pete Hanna</w:t>
            </w:r>
          </w:p>
        </w:tc>
      </w:tr>
      <w:tr w:rsidR="00673914" w14:paraId="0DE329A4" w14:textId="77777777" w:rsidTr="25B4BF30">
        <w:trPr>
          <w:trHeight w:val="335"/>
        </w:trPr>
        <w:tc>
          <w:tcPr>
            <w:tcW w:w="10502" w:type="dxa"/>
            <w:tcBorders>
              <w:top w:val="nil"/>
              <w:bottom w:val="single" w:sz="4" w:space="0" w:color="auto"/>
            </w:tcBorders>
          </w:tcPr>
          <w:p w14:paraId="23B5BB67" w14:textId="542FB67D" w:rsidR="00673914" w:rsidRDefault="00673914"/>
        </w:tc>
      </w:tr>
      <w:tr w:rsidR="00673914" w14:paraId="339758C3" w14:textId="77777777" w:rsidTr="25B4BF30">
        <w:trPr>
          <w:trHeight w:val="619"/>
        </w:trPr>
        <w:tc>
          <w:tcPr>
            <w:tcW w:w="10502" w:type="dxa"/>
            <w:tcBorders>
              <w:bottom w:val="nil"/>
            </w:tcBorders>
          </w:tcPr>
          <w:p w14:paraId="1A45E64D" w14:textId="1133C1FD" w:rsidR="79C8AB8F" w:rsidRPr="003E2FD8" w:rsidRDefault="79C8AB8F" w:rsidP="25B4BF30">
            <w:pPr>
              <w:rPr>
                <w:b/>
                <w:bCs/>
              </w:rPr>
            </w:pPr>
            <w:r w:rsidRPr="003E2FD8">
              <w:rPr>
                <w:b/>
                <w:bCs/>
              </w:rPr>
              <w:t>Key Themes:</w:t>
            </w:r>
            <w:r w:rsidR="5C36F8C2" w:rsidRPr="003E2FD8">
              <w:rPr>
                <w:b/>
                <w:bCs/>
              </w:rPr>
              <w:t xml:space="preserve"> </w:t>
            </w:r>
          </w:p>
          <w:p w14:paraId="5BA733BB" w14:textId="5BAF0130" w:rsidR="00A6050D" w:rsidRPr="00A6050D" w:rsidRDefault="00A6050D" w:rsidP="00A6050D">
            <w:r w:rsidRPr="00A6050D">
              <w:t xml:space="preserve">The key themes centred on the Library Customer Service Team’s developing data literacy, as they worked to make better use of the wide range of information already available to them. They focused on using data to inform service improvements, aiming to enhance both operational efficiency and the student experience. </w:t>
            </w:r>
          </w:p>
          <w:p w14:paraId="17269475" w14:textId="1DA41CE0" w:rsidR="25B4BF30" w:rsidRDefault="25B4BF30"/>
          <w:p w14:paraId="5EC12AE4" w14:textId="0258D472" w:rsidR="00DF05AD" w:rsidRDefault="00DF05AD" w:rsidP="25B4BF30"/>
        </w:tc>
      </w:tr>
      <w:tr w:rsidR="004E16CF" w14:paraId="5813D841" w14:textId="77777777" w:rsidTr="25B4BF30">
        <w:trPr>
          <w:trHeight w:val="619"/>
        </w:trPr>
        <w:tc>
          <w:tcPr>
            <w:tcW w:w="10502" w:type="dxa"/>
            <w:tcBorders>
              <w:bottom w:val="nil"/>
            </w:tcBorders>
          </w:tcPr>
          <w:p w14:paraId="389D161C" w14:textId="7FE5A66D" w:rsidR="004E16CF" w:rsidRPr="003E2FD8" w:rsidRDefault="0F491786" w:rsidP="25B4BF30">
            <w:pPr>
              <w:rPr>
                <w:b/>
                <w:bCs/>
              </w:rPr>
            </w:pPr>
            <w:r w:rsidRPr="003E2FD8">
              <w:rPr>
                <w:b/>
                <w:bCs/>
              </w:rPr>
              <w:t xml:space="preserve">Summary of presentation: </w:t>
            </w:r>
          </w:p>
          <w:p w14:paraId="65B7C5D6" w14:textId="77777777" w:rsidR="009F235E" w:rsidRDefault="009F235E" w:rsidP="25B4BF30"/>
          <w:p w14:paraId="23D8E09E" w14:textId="4C16CCF2" w:rsidR="009F235E" w:rsidRPr="009F235E" w:rsidRDefault="009F235E" w:rsidP="009F235E">
            <w:r w:rsidRPr="009F235E">
              <w:t xml:space="preserve">The Library Customer Service Team at the University of Hertfordshire had been on a journey to better understand and utilise the wide range of data available within </w:t>
            </w:r>
            <w:r w:rsidR="000A4147">
              <w:t>their</w:t>
            </w:r>
            <w:r w:rsidRPr="009F235E">
              <w:t xml:space="preserve"> Learning Resource Centre. They had recognised that although they collected substantial information, much of it had remained under</w:t>
            </w:r>
            <w:r w:rsidRPr="009F235E">
              <w:noBreakHyphen/>
              <w:t>used, prompting the need to build a case for more informed decision</w:t>
            </w:r>
            <w:r w:rsidRPr="009F235E">
              <w:noBreakHyphen/>
              <w:t>making and improved service delivery. Their work focused on developing analytical capability gradually and exploring how different data types—such as organisational data, resource utilisation, attitudinal feedback and behavioural insights—could be applied to enhance the student experience.</w:t>
            </w:r>
          </w:p>
          <w:p w14:paraId="522DC5AB" w14:textId="77777777" w:rsidR="009F235E" w:rsidRPr="009F235E" w:rsidRDefault="009F235E" w:rsidP="009F235E">
            <w:r w:rsidRPr="009F235E">
              <w:t>A key part of this journey had involved adopting a user</w:t>
            </w:r>
            <w:r w:rsidRPr="009F235E">
              <w:noBreakHyphen/>
              <w:t>experience</w:t>
            </w:r>
            <w:r w:rsidRPr="009F235E">
              <w:noBreakHyphen/>
              <w:t xml:space="preserve">driven approach. By creating student profiles, analysing user stories and remaining curious about patterns in student behaviour, the team were able to contextualise </w:t>
            </w:r>
            <w:proofErr w:type="spellStart"/>
            <w:r w:rsidRPr="009F235E">
              <w:t>UX</w:t>
            </w:r>
            <w:proofErr w:type="spellEnd"/>
            <w:r w:rsidRPr="009F235E">
              <w:t xml:space="preserve"> findings more effectively. Examples included investigating who visited the LRC, questioning what constituted a “visit,” and using Wi</w:t>
            </w:r>
            <w:r w:rsidRPr="009F235E">
              <w:noBreakHyphen/>
              <w:t>Fi data alongside entry swipes to gain more meaningful insights.</w:t>
            </w:r>
          </w:p>
          <w:p w14:paraId="41051AC5" w14:textId="77777777" w:rsidR="009F235E" w:rsidRPr="009F235E" w:rsidRDefault="009F235E" w:rsidP="009F235E">
            <w:r w:rsidRPr="009F235E">
              <w:t>Throughout this process, the team had reflected on the challenges and benefits of their work. They emphasised the importance of having a vision, remaining pragmatic and agile, identifying easy wins, and building a strong narrative to influence service development. Their experience aimed to inspire others seeking to do more with the data they already had.</w:t>
            </w:r>
          </w:p>
          <w:p w14:paraId="4E4BA45B" w14:textId="77777777" w:rsidR="006737DE" w:rsidRDefault="006737DE"/>
          <w:p w14:paraId="6C275F72" w14:textId="2E4C050A" w:rsidR="25B4BF30" w:rsidRDefault="25B4BF30"/>
          <w:p w14:paraId="5DA6839C" w14:textId="4812B3EF" w:rsidR="004E16CF" w:rsidRDefault="004E16CF" w:rsidP="25B4BF30">
            <w:pPr>
              <w:rPr>
                <w:color w:val="EE0000"/>
              </w:rPr>
            </w:pPr>
          </w:p>
        </w:tc>
      </w:tr>
      <w:tr w:rsidR="004E16CF" w14:paraId="09530E1B" w14:textId="77777777" w:rsidTr="25B4BF30">
        <w:trPr>
          <w:trHeight w:val="300"/>
        </w:trPr>
        <w:tc>
          <w:tcPr>
            <w:tcW w:w="10502" w:type="dxa"/>
            <w:tcBorders>
              <w:bottom w:val="nil"/>
            </w:tcBorders>
          </w:tcPr>
          <w:p w14:paraId="30134AA6" w14:textId="7A05933A" w:rsidR="004E16CF" w:rsidRPr="003E2FD8" w:rsidRDefault="0F491786" w:rsidP="25B4BF30">
            <w:pPr>
              <w:rPr>
                <w:b/>
                <w:bCs/>
                <w:color w:val="EE0000"/>
              </w:rPr>
            </w:pPr>
            <w:r w:rsidRPr="003E2FD8">
              <w:rPr>
                <w:b/>
                <w:bCs/>
              </w:rPr>
              <w:t>How Might it Apply to CS in libraries</w:t>
            </w:r>
            <w:r w:rsidR="0AB058D9" w:rsidRPr="003E2FD8">
              <w:rPr>
                <w:b/>
                <w:bCs/>
              </w:rPr>
              <w:t>:</w:t>
            </w:r>
          </w:p>
          <w:p w14:paraId="2019ABB0" w14:textId="77777777" w:rsidR="004E16CF" w:rsidRDefault="004E16CF" w:rsidP="0020595F"/>
          <w:p w14:paraId="4B2CE2E4" w14:textId="77777777" w:rsidR="0020595F" w:rsidRPr="0020595F" w:rsidRDefault="0020595F" w:rsidP="0020595F">
            <w:r w:rsidRPr="0020595F">
              <w:t>A CS team in an academic library could use these ideas by taking a fresh look at all the data they already collect—like enquiry trends, busy times at the desk, space usage and student feedback—and using it to spot what’s really going on day</w:t>
            </w:r>
            <w:r w:rsidRPr="0020595F">
              <w:noBreakHyphen/>
              <w:t>to</w:t>
            </w:r>
            <w:r w:rsidRPr="0020595F">
              <w:noBreakHyphen/>
              <w:t xml:space="preserve">day. Instead of just reacting to problems, they could use this information to understand what students </w:t>
            </w:r>
            <w:proofErr w:type="gramStart"/>
            <w:r w:rsidRPr="0020595F">
              <w:t>actually need</w:t>
            </w:r>
            <w:proofErr w:type="gramEnd"/>
            <w:r w:rsidRPr="0020595F">
              <w:t xml:space="preserve"> and adjust services accordingly. It could be as simple as noticing when certain questions keep coming up, seeing which spaces students naturally gravitate toward, or picking up patterns in Wi</w:t>
            </w:r>
            <w:r w:rsidRPr="0020595F">
              <w:noBreakHyphen/>
              <w:t>Fi or room</w:t>
            </w:r>
            <w:r w:rsidRPr="0020595F">
              <w:noBreakHyphen/>
              <w:t>booking data. By staying curious, trying small changes and sharing what they learn with the wider team, they could build a stronger, more student</w:t>
            </w:r>
            <w:r w:rsidRPr="0020595F">
              <w:noBreakHyphen/>
              <w:t>focused service without needing fancy tools—just a willingness to explore what their data is already telling them.</w:t>
            </w:r>
          </w:p>
          <w:p w14:paraId="69A8BC77" w14:textId="02C69041" w:rsidR="0020595F" w:rsidRDefault="0020595F" w:rsidP="0020595F"/>
        </w:tc>
      </w:tr>
      <w:tr w:rsidR="00673914" w14:paraId="1ECA9CAB" w14:textId="77777777" w:rsidTr="25B4BF30">
        <w:trPr>
          <w:trHeight w:val="335"/>
        </w:trPr>
        <w:tc>
          <w:tcPr>
            <w:tcW w:w="10502" w:type="dxa"/>
            <w:tcBorders>
              <w:top w:val="nil"/>
              <w:bottom w:val="single" w:sz="4" w:space="0" w:color="auto"/>
            </w:tcBorders>
          </w:tcPr>
          <w:p w14:paraId="50351099" w14:textId="77777777" w:rsidR="00673914" w:rsidRDefault="00673914"/>
        </w:tc>
      </w:tr>
      <w:tr w:rsidR="00F6328A" w14:paraId="552F18A2" w14:textId="77777777" w:rsidTr="25B4BF30">
        <w:trPr>
          <w:trHeight w:val="335"/>
        </w:trPr>
        <w:tc>
          <w:tcPr>
            <w:tcW w:w="10502" w:type="dxa"/>
            <w:tcBorders>
              <w:top w:val="nil"/>
              <w:bottom w:val="single" w:sz="4" w:space="0" w:color="auto"/>
            </w:tcBorders>
          </w:tcPr>
          <w:p w14:paraId="78EA7247" w14:textId="728691AF" w:rsidR="00F6328A" w:rsidRDefault="12862766" w:rsidP="25B4BF30">
            <w:pPr>
              <w:rPr>
                <w:color w:val="EE0000"/>
              </w:rPr>
            </w:pPr>
            <w:r w:rsidRPr="008A4105">
              <w:rPr>
                <w:b/>
                <w:bCs/>
              </w:rPr>
              <w:t>Abstract author:</w:t>
            </w:r>
            <w:r>
              <w:t xml:space="preserve">  </w:t>
            </w:r>
            <w:r w:rsidR="00C22219">
              <w:t>Peter Clark, University of Chester</w:t>
            </w:r>
          </w:p>
        </w:tc>
      </w:tr>
    </w:tbl>
    <w:p w14:paraId="7BC1CC32" w14:textId="77777777" w:rsidR="002365B3" w:rsidRDefault="002365B3"/>
    <w:sectPr w:rsidR="002365B3" w:rsidSect="00DF05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100"/>
    <w:multiLevelType w:val="hybridMultilevel"/>
    <w:tmpl w:val="7CB6F4C4"/>
    <w:lvl w:ilvl="0" w:tplc="B2C01AFE">
      <w:start w:val="1"/>
      <w:numFmt w:val="decimal"/>
      <w:lvlText w:val="%1."/>
      <w:lvlJc w:val="left"/>
      <w:pPr>
        <w:ind w:left="720" w:hanging="360"/>
      </w:pPr>
      <w:rPr>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03CC3"/>
    <w:multiLevelType w:val="hybridMultilevel"/>
    <w:tmpl w:val="B02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15797"/>
    <w:multiLevelType w:val="hybridMultilevel"/>
    <w:tmpl w:val="ABA8C584"/>
    <w:lvl w:ilvl="0" w:tplc="DB3C1E26">
      <w:start w:val="1"/>
      <w:numFmt w:val="bullet"/>
      <w:lvlText w:val="·"/>
      <w:lvlJc w:val="left"/>
      <w:pPr>
        <w:ind w:left="720" w:hanging="360"/>
      </w:pPr>
      <w:rPr>
        <w:rFonts w:ascii="Symbol" w:hAnsi="Symbol" w:hint="default"/>
      </w:rPr>
    </w:lvl>
    <w:lvl w:ilvl="1" w:tplc="1AFCB8A8">
      <w:start w:val="1"/>
      <w:numFmt w:val="bullet"/>
      <w:lvlText w:val="o"/>
      <w:lvlJc w:val="left"/>
      <w:pPr>
        <w:ind w:left="1440" w:hanging="360"/>
      </w:pPr>
      <w:rPr>
        <w:rFonts w:ascii="Courier New" w:hAnsi="Courier New" w:hint="default"/>
      </w:rPr>
    </w:lvl>
    <w:lvl w:ilvl="2" w:tplc="AB30C64E">
      <w:start w:val="1"/>
      <w:numFmt w:val="bullet"/>
      <w:lvlText w:val=""/>
      <w:lvlJc w:val="left"/>
      <w:pPr>
        <w:ind w:left="2160" w:hanging="360"/>
      </w:pPr>
      <w:rPr>
        <w:rFonts w:ascii="Wingdings" w:hAnsi="Wingdings" w:hint="default"/>
      </w:rPr>
    </w:lvl>
    <w:lvl w:ilvl="3" w:tplc="329CEAA0">
      <w:start w:val="1"/>
      <w:numFmt w:val="bullet"/>
      <w:lvlText w:val=""/>
      <w:lvlJc w:val="left"/>
      <w:pPr>
        <w:ind w:left="2880" w:hanging="360"/>
      </w:pPr>
      <w:rPr>
        <w:rFonts w:ascii="Symbol" w:hAnsi="Symbol" w:hint="default"/>
      </w:rPr>
    </w:lvl>
    <w:lvl w:ilvl="4" w:tplc="93F2118E">
      <w:start w:val="1"/>
      <w:numFmt w:val="bullet"/>
      <w:lvlText w:val="o"/>
      <w:lvlJc w:val="left"/>
      <w:pPr>
        <w:ind w:left="3600" w:hanging="360"/>
      </w:pPr>
      <w:rPr>
        <w:rFonts w:ascii="Courier New" w:hAnsi="Courier New" w:hint="default"/>
      </w:rPr>
    </w:lvl>
    <w:lvl w:ilvl="5" w:tplc="BF887044">
      <w:start w:val="1"/>
      <w:numFmt w:val="bullet"/>
      <w:lvlText w:val=""/>
      <w:lvlJc w:val="left"/>
      <w:pPr>
        <w:ind w:left="4320" w:hanging="360"/>
      </w:pPr>
      <w:rPr>
        <w:rFonts w:ascii="Wingdings" w:hAnsi="Wingdings" w:hint="default"/>
      </w:rPr>
    </w:lvl>
    <w:lvl w:ilvl="6" w:tplc="476417B4">
      <w:start w:val="1"/>
      <w:numFmt w:val="bullet"/>
      <w:lvlText w:val=""/>
      <w:lvlJc w:val="left"/>
      <w:pPr>
        <w:ind w:left="5040" w:hanging="360"/>
      </w:pPr>
      <w:rPr>
        <w:rFonts w:ascii="Symbol" w:hAnsi="Symbol" w:hint="default"/>
      </w:rPr>
    </w:lvl>
    <w:lvl w:ilvl="7" w:tplc="ABA09010">
      <w:start w:val="1"/>
      <w:numFmt w:val="bullet"/>
      <w:lvlText w:val="o"/>
      <w:lvlJc w:val="left"/>
      <w:pPr>
        <w:ind w:left="5760" w:hanging="360"/>
      </w:pPr>
      <w:rPr>
        <w:rFonts w:ascii="Courier New" w:hAnsi="Courier New" w:hint="default"/>
      </w:rPr>
    </w:lvl>
    <w:lvl w:ilvl="8" w:tplc="523059F8">
      <w:start w:val="1"/>
      <w:numFmt w:val="bullet"/>
      <w:lvlText w:val=""/>
      <w:lvlJc w:val="left"/>
      <w:pPr>
        <w:ind w:left="6480" w:hanging="360"/>
      </w:pPr>
      <w:rPr>
        <w:rFonts w:ascii="Wingdings" w:hAnsi="Wingdings" w:hint="default"/>
      </w:rPr>
    </w:lvl>
  </w:abstractNum>
  <w:abstractNum w:abstractNumId="3" w15:restartNumberingAfterBreak="0">
    <w:nsid w:val="1CE2EAA0"/>
    <w:multiLevelType w:val="hybridMultilevel"/>
    <w:tmpl w:val="5B0E92D6"/>
    <w:lvl w:ilvl="0" w:tplc="9C8C3902">
      <w:start w:val="1"/>
      <w:numFmt w:val="decimal"/>
      <w:lvlText w:val="%1."/>
      <w:lvlJc w:val="left"/>
      <w:pPr>
        <w:ind w:left="720" w:hanging="360"/>
      </w:pPr>
    </w:lvl>
    <w:lvl w:ilvl="1" w:tplc="80B4EC9A">
      <w:start w:val="1"/>
      <w:numFmt w:val="lowerLetter"/>
      <w:lvlText w:val="%2."/>
      <w:lvlJc w:val="left"/>
      <w:pPr>
        <w:ind w:left="1440" w:hanging="360"/>
      </w:pPr>
    </w:lvl>
    <w:lvl w:ilvl="2" w:tplc="6826F686">
      <w:start w:val="1"/>
      <w:numFmt w:val="lowerRoman"/>
      <w:lvlText w:val="%3."/>
      <w:lvlJc w:val="right"/>
      <w:pPr>
        <w:ind w:left="2160" w:hanging="180"/>
      </w:pPr>
    </w:lvl>
    <w:lvl w:ilvl="3" w:tplc="21B0C2B2">
      <w:start w:val="1"/>
      <w:numFmt w:val="decimal"/>
      <w:lvlText w:val="%4."/>
      <w:lvlJc w:val="left"/>
      <w:pPr>
        <w:ind w:left="2880" w:hanging="360"/>
      </w:pPr>
    </w:lvl>
    <w:lvl w:ilvl="4" w:tplc="DC52EC26">
      <w:start w:val="1"/>
      <w:numFmt w:val="lowerLetter"/>
      <w:lvlText w:val="%5."/>
      <w:lvlJc w:val="left"/>
      <w:pPr>
        <w:ind w:left="3600" w:hanging="360"/>
      </w:pPr>
    </w:lvl>
    <w:lvl w:ilvl="5" w:tplc="190E8F5A">
      <w:start w:val="1"/>
      <w:numFmt w:val="lowerRoman"/>
      <w:lvlText w:val="%6."/>
      <w:lvlJc w:val="right"/>
      <w:pPr>
        <w:ind w:left="4320" w:hanging="180"/>
      </w:pPr>
    </w:lvl>
    <w:lvl w:ilvl="6" w:tplc="F996B3CE">
      <w:start w:val="1"/>
      <w:numFmt w:val="decimal"/>
      <w:lvlText w:val="%7."/>
      <w:lvlJc w:val="left"/>
      <w:pPr>
        <w:ind w:left="5040" w:hanging="360"/>
      </w:pPr>
    </w:lvl>
    <w:lvl w:ilvl="7" w:tplc="67CEAF04">
      <w:start w:val="1"/>
      <w:numFmt w:val="lowerLetter"/>
      <w:lvlText w:val="%8."/>
      <w:lvlJc w:val="left"/>
      <w:pPr>
        <w:ind w:left="5760" w:hanging="360"/>
      </w:pPr>
    </w:lvl>
    <w:lvl w:ilvl="8" w:tplc="A89C0396">
      <w:start w:val="1"/>
      <w:numFmt w:val="lowerRoman"/>
      <w:lvlText w:val="%9."/>
      <w:lvlJc w:val="right"/>
      <w:pPr>
        <w:ind w:left="6480" w:hanging="180"/>
      </w:pPr>
    </w:lvl>
  </w:abstractNum>
  <w:abstractNum w:abstractNumId="4" w15:restartNumberingAfterBreak="0">
    <w:nsid w:val="20675B5B"/>
    <w:multiLevelType w:val="hybridMultilevel"/>
    <w:tmpl w:val="00CA8612"/>
    <w:lvl w:ilvl="0" w:tplc="C27820EE">
      <w:start w:val="1"/>
      <w:numFmt w:val="bullet"/>
      <w:lvlText w:val=""/>
      <w:lvlJc w:val="left"/>
      <w:pPr>
        <w:ind w:left="720" w:hanging="360"/>
      </w:pPr>
      <w:rPr>
        <w:rFonts w:ascii="Symbol" w:hAnsi="Symbol" w:hint="default"/>
      </w:rPr>
    </w:lvl>
    <w:lvl w:ilvl="1" w:tplc="C94AA3C4">
      <w:start w:val="1"/>
      <w:numFmt w:val="bullet"/>
      <w:lvlText w:val="o"/>
      <w:lvlJc w:val="left"/>
      <w:pPr>
        <w:ind w:left="1440" w:hanging="360"/>
      </w:pPr>
      <w:rPr>
        <w:rFonts w:ascii="Courier New" w:hAnsi="Courier New" w:hint="default"/>
      </w:rPr>
    </w:lvl>
    <w:lvl w:ilvl="2" w:tplc="17B2568A">
      <w:start w:val="1"/>
      <w:numFmt w:val="bullet"/>
      <w:lvlText w:val=""/>
      <w:lvlJc w:val="left"/>
      <w:pPr>
        <w:ind w:left="2160" w:hanging="360"/>
      </w:pPr>
      <w:rPr>
        <w:rFonts w:ascii="Wingdings" w:hAnsi="Wingdings" w:hint="default"/>
      </w:rPr>
    </w:lvl>
    <w:lvl w:ilvl="3" w:tplc="44D04212">
      <w:start w:val="1"/>
      <w:numFmt w:val="bullet"/>
      <w:lvlText w:val=""/>
      <w:lvlJc w:val="left"/>
      <w:pPr>
        <w:ind w:left="2880" w:hanging="360"/>
      </w:pPr>
      <w:rPr>
        <w:rFonts w:ascii="Symbol" w:hAnsi="Symbol" w:hint="default"/>
      </w:rPr>
    </w:lvl>
    <w:lvl w:ilvl="4" w:tplc="FE267F58">
      <w:start w:val="1"/>
      <w:numFmt w:val="bullet"/>
      <w:lvlText w:val="o"/>
      <w:lvlJc w:val="left"/>
      <w:pPr>
        <w:ind w:left="3600" w:hanging="360"/>
      </w:pPr>
      <w:rPr>
        <w:rFonts w:ascii="Courier New" w:hAnsi="Courier New" w:hint="default"/>
      </w:rPr>
    </w:lvl>
    <w:lvl w:ilvl="5" w:tplc="ECE6B3D4">
      <w:start w:val="1"/>
      <w:numFmt w:val="bullet"/>
      <w:lvlText w:val=""/>
      <w:lvlJc w:val="left"/>
      <w:pPr>
        <w:ind w:left="4320" w:hanging="360"/>
      </w:pPr>
      <w:rPr>
        <w:rFonts w:ascii="Wingdings" w:hAnsi="Wingdings" w:hint="default"/>
      </w:rPr>
    </w:lvl>
    <w:lvl w:ilvl="6" w:tplc="82B27C62">
      <w:start w:val="1"/>
      <w:numFmt w:val="bullet"/>
      <w:lvlText w:val=""/>
      <w:lvlJc w:val="left"/>
      <w:pPr>
        <w:ind w:left="5040" w:hanging="360"/>
      </w:pPr>
      <w:rPr>
        <w:rFonts w:ascii="Symbol" w:hAnsi="Symbol" w:hint="default"/>
      </w:rPr>
    </w:lvl>
    <w:lvl w:ilvl="7" w:tplc="40CA085C">
      <w:start w:val="1"/>
      <w:numFmt w:val="bullet"/>
      <w:lvlText w:val="o"/>
      <w:lvlJc w:val="left"/>
      <w:pPr>
        <w:ind w:left="5760" w:hanging="360"/>
      </w:pPr>
      <w:rPr>
        <w:rFonts w:ascii="Courier New" w:hAnsi="Courier New" w:hint="default"/>
      </w:rPr>
    </w:lvl>
    <w:lvl w:ilvl="8" w:tplc="04E64A8E">
      <w:start w:val="1"/>
      <w:numFmt w:val="bullet"/>
      <w:lvlText w:val=""/>
      <w:lvlJc w:val="left"/>
      <w:pPr>
        <w:ind w:left="6480" w:hanging="360"/>
      </w:pPr>
      <w:rPr>
        <w:rFonts w:ascii="Wingdings" w:hAnsi="Wingdings" w:hint="default"/>
      </w:rPr>
    </w:lvl>
  </w:abstractNum>
  <w:abstractNum w:abstractNumId="5" w15:restartNumberingAfterBreak="0">
    <w:nsid w:val="58946A25"/>
    <w:multiLevelType w:val="hybridMultilevel"/>
    <w:tmpl w:val="A8FC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4064D"/>
    <w:multiLevelType w:val="hybridMultilevel"/>
    <w:tmpl w:val="FCD8AA22"/>
    <w:lvl w:ilvl="0" w:tplc="5956B33C">
      <w:start w:val="1"/>
      <w:numFmt w:val="bullet"/>
      <w:lvlText w:val=""/>
      <w:lvlJc w:val="left"/>
      <w:pPr>
        <w:ind w:left="720" w:hanging="360"/>
      </w:pPr>
      <w:rPr>
        <w:rFonts w:ascii="Symbol" w:hAnsi="Symbol" w:hint="default"/>
      </w:rPr>
    </w:lvl>
    <w:lvl w:ilvl="1" w:tplc="87D22726">
      <w:start w:val="1"/>
      <w:numFmt w:val="bullet"/>
      <w:lvlText w:val="o"/>
      <w:lvlJc w:val="left"/>
      <w:pPr>
        <w:ind w:left="1440" w:hanging="360"/>
      </w:pPr>
      <w:rPr>
        <w:rFonts w:ascii="Courier New" w:hAnsi="Courier New" w:hint="default"/>
      </w:rPr>
    </w:lvl>
    <w:lvl w:ilvl="2" w:tplc="38CC3D26">
      <w:start w:val="1"/>
      <w:numFmt w:val="bullet"/>
      <w:lvlText w:val=""/>
      <w:lvlJc w:val="left"/>
      <w:pPr>
        <w:ind w:left="2160" w:hanging="360"/>
      </w:pPr>
      <w:rPr>
        <w:rFonts w:ascii="Wingdings" w:hAnsi="Wingdings" w:hint="default"/>
      </w:rPr>
    </w:lvl>
    <w:lvl w:ilvl="3" w:tplc="67F20704">
      <w:start w:val="1"/>
      <w:numFmt w:val="bullet"/>
      <w:lvlText w:val=""/>
      <w:lvlJc w:val="left"/>
      <w:pPr>
        <w:ind w:left="2880" w:hanging="360"/>
      </w:pPr>
      <w:rPr>
        <w:rFonts w:ascii="Symbol" w:hAnsi="Symbol" w:hint="default"/>
      </w:rPr>
    </w:lvl>
    <w:lvl w:ilvl="4" w:tplc="83886AAE">
      <w:start w:val="1"/>
      <w:numFmt w:val="bullet"/>
      <w:lvlText w:val="o"/>
      <w:lvlJc w:val="left"/>
      <w:pPr>
        <w:ind w:left="3600" w:hanging="360"/>
      </w:pPr>
      <w:rPr>
        <w:rFonts w:ascii="Courier New" w:hAnsi="Courier New" w:hint="default"/>
      </w:rPr>
    </w:lvl>
    <w:lvl w:ilvl="5" w:tplc="24982D34">
      <w:start w:val="1"/>
      <w:numFmt w:val="bullet"/>
      <w:lvlText w:val=""/>
      <w:lvlJc w:val="left"/>
      <w:pPr>
        <w:ind w:left="4320" w:hanging="360"/>
      </w:pPr>
      <w:rPr>
        <w:rFonts w:ascii="Wingdings" w:hAnsi="Wingdings" w:hint="default"/>
      </w:rPr>
    </w:lvl>
    <w:lvl w:ilvl="6" w:tplc="9836E670">
      <w:start w:val="1"/>
      <w:numFmt w:val="bullet"/>
      <w:lvlText w:val=""/>
      <w:lvlJc w:val="left"/>
      <w:pPr>
        <w:ind w:left="5040" w:hanging="360"/>
      </w:pPr>
      <w:rPr>
        <w:rFonts w:ascii="Symbol" w:hAnsi="Symbol" w:hint="default"/>
      </w:rPr>
    </w:lvl>
    <w:lvl w:ilvl="7" w:tplc="1B82A340">
      <w:start w:val="1"/>
      <w:numFmt w:val="bullet"/>
      <w:lvlText w:val="o"/>
      <w:lvlJc w:val="left"/>
      <w:pPr>
        <w:ind w:left="5760" w:hanging="360"/>
      </w:pPr>
      <w:rPr>
        <w:rFonts w:ascii="Courier New" w:hAnsi="Courier New" w:hint="default"/>
      </w:rPr>
    </w:lvl>
    <w:lvl w:ilvl="8" w:tplc="6B8AF0AE">
      <w:start w:val="1"/>
      <w:numFmt w:val="bullet"/>
      <w:lvlText w:val=""/>
      <w:lvlJc w:val="left"/>
      <w:pPr>
        <w:ind w:left="6480" w:hanging="360"/>
      </w:pPr>
      <w:rPr>
        <w:rFonts w:ascii="Wingdings" w:hAnsi="Wingdings" w:hint="default"/>
      </w:rPr>
    </w:lvl>
  </w:abstractNum>
  <w:num w:numId="1" w16cid:durableId="797143151">
    <w:abstractNumId w:val="6"/>
  </w:num>
  <w:num w:numId="2" w16cid:durableId="1311976781">
    <w:abstractNumId w:val="4"/>
  </w:num>
  <w:num w:numId="3" w16cid:durableId="1510100549">
    <w:abstractNumId w:val="2"/>
  </w:num>
  <w:num w:numId="4" w16cid:durableId="762143249">
    <w:abstractNumId w:val="3"/>
  </w:num>
  <w:num w:numId="5" w16cid:durableId="564143796">
    <w:abstractNumId w:val="0"/>
  </w:num>
  <w:num w:numId="6" w16cid:durableId="756901791">
    <w:abstractNumId w:val="1"/>
  </w:num>
  <w:num w:numId="7" w16cid:durableId="45541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14"/>
    <w:rsid w:val="00041730"/>
    <w:rsid w:val="000A2346"/>
    <w:rsid w:val="000A4147"/>
    <w:rsid w:val="000C4877"/>
    <w:rsid w:val="000D271E"/>
    <w:rsid w:val="00107B77"/>
    <w:rsid w:val="001216DB"/>
    <w:rsid w:val="00125DF1"/>
    <w:rsid w:val="00165C77"/>
    <w:rsid w:val="001E3B51"/>
    <w:rsid w:val="00202A96"/>
    <w:rsid w:val="0020595F"/>
    <w:rsid w:val="00213246"/>
    <w:rsid w:val="002365B3"/>
    <w:rsid w:val="00264B0B"/>
    <w:rsid w:val="00286780"/>
    <w:rsid w:val="002938FC"/>
    <w:rsid w:val="002B2D05"/>
    <w:rsid w:val="002C013E"/>
    <w:rsid w:val="00356193"/>
    <w:rsid w:val="003B44E1"/>
    <w:rsid w:val="003E2FD8"/>
    <w:rsid w:val="004049B9"/>
    <w:rsid w:val="00492710"/>
    <w:rsid w:val="004E16CF"/>
    <w:rsid w:val="00536649"/>
    <w:rsid w:val="00560C6C"/>
    <w:rsid w:val="0059F6F3"/>
    <w:rsid w:val="005A7897"/>
    <w:rsid w:val="0062424B"/>
    <w:rsid w:val="00652CF6"/>
    <w:rsid w:val="00657BF8"/>
    <w:rsid w:val="0066786C"/>
    <w:rsid w:val="006737DE"/>
    <w:rsid w:val="00673914"/>
    <w:rsid w:val="006928D8"/>
    <w:rsid w:val="00694F4E"/>
    <w:rsid w:val="006A7E63"/>
    <w:rsid w:val="006D7ABF"/>
    <w:rsid w:val="007364C3"/>
    <w:rsid w:val="007A7F8E"/>
    <w:rsid w:val="007D1912"/>
    <w:rsid w:val="007F29BD"/>
    <w:rsid w:val="0082178F"/>
    <w:rsid w:val="00832D57"/>
    <w:rsid w:val="00856672"/>
    <w:rsid w:val="00880D94"/>
    <w:rsid w:val="008924E7"/>
    <w:rsid w:val="008A4105"/>
    <w:rsid w:val="008B511C"/>
    <w:rsid w:val="008D7E64"/>
    <w:rsid w:val="00984303"/>
    <w:rsid w:val="009A71CC"/>
    <w:rsid w:val="009C5176"/>
    <w:rsid w:val="009F235E"/>
    <w:rsid w:val="00A6050D"/>
    <w:rsid w:val="00AA1626"/>
    <w:rsid w:val="00B22714"/>
    <w:rsid w:val="00B51216"/>
    <w:rsid w:val="00B52457"/>
    <w:rsid w:val="00B57CD9"/>
    <w:rsid w:val="00BB261D"/>
    <w:rsid w:val="00BC4A96"/>
    <w:rsid w:val="00BF6B0D"/>
    <w:rsid w:val="00C22219"/>
    <w:rsid w:val="00C86FE1"/>
    <w:rsid w:val="00C8718D"/>
    <w:rsid w:val="00DC6E33"/>
    <w:rsid w:val="00DF05AD"/>
    <w:rsid w:val="00E16D44"/>
    <w:rsid w:val="00E77DE7"/>
    <w:rsid w:val="00E96C98"/>
    <w:rsid w:val="00EA4834"/>
    <w:rsid w:val="00EC1FB0"/>
    <w:rsid w:val="00ED655D"/>
    <w:rsid w:val="00EF1E84"/>
    <w:rsid w:val="00F11857"/>
    <w:rsid w:val="00F14B8D"/>
    <w:rsid w:val="00F252B8"/>
    <w:rsid w:val="00F41363"/>
    <w:rsid w:val="00F6328A"/>
    <w:rsid w:val="00F85EFA"/>
    <w:rsid w:val="00FA1A86"/>
    <w:rsid w:val="00FC1AAA"/>
    <w:rsid w:val="02DC052D"/>
    <w:rsid w:val="03F2D121"/>
    <w:rsid w:val="03FC5A05"/>
    <w:rsid w:val="06E2DF45"/>
    <w:rsid w:val="070002B2"/>
    <w:rsid w:val="07D30E37"/>
    <w:rsid w:val="08119329"/>
    <w:rsid w:val="09097F5F"/>
    <w:rsid w:val="09901BFA"/>
    <w:rsid w:val="09F9448F"/>
    <w:rsid w:val="0A4C49B1"/>
    <w:rsid w:val="0A8B286D"/>
    <w:rsid w:val="0AB058D9"/>
    <w:rsid w:val="0AD46C93"/>
    <w:rsid w:val="0B742694"/>
    <w:rsid w:val="0C7B9248"/>
    <w:rsid w:val="0CEAB906"/>
    <w:rsid w:val="0D14CB63"/>
    <w:rsid w:val="0DBF8866"/>
    <w:rsid w:val="0F491786"/>
    <w:rsid w:val="0F9C288C"/>
    <w:rsid w:val="0FF1F94C"/>
    <w:rsid w:val="124ED408"/>
    <w:rsid w:val="12862766"/>
    <w:rsid w:val="12ACEFB8"/>
    <w:rsid w:val="140B0813"/>
    <w:rsid w:val="144B049F"/>
    <w:rsid w:val="151C8F84"/>
    <w:rsid w:val="156B0284"/>
    <w:rsid w:val="15C5C2EE"/>
    <w:rsid w:val="164F7507"/>
    <w:rsid w:val="173BDF1D"/>
    <w:rsid w:val="1751A6EA"/>
    <w:rsid w:val="187F728E"/>
    <w:rsid w:val="197CDBD1"/>
    <w:rsid w:val="1A39166C"/>
    <w:rsid w:val="1A791A23"/>
    <w:rsid w:val="1D6077A1"/>
    <w:rsid w:val="1D9238A2"/>
    <w:rsid w:val="1EF21C28"/>
    <w:rsid w:val="1FD0F1B2"/>
    <w:rsid w:val="2065AC5F"/>
    <w:rsid w:val="20B0D0FA"/>
    <w:rsid w:val="21060490"/>
    <w:rsid w:val="217EC8EA"/>
    <w:rsid w:val="228EBFEA"/>
    <w:rsid w:val="22B8A9C9"/>
    <w:rsid w:val="23493B30"/>
    <w:rsid w:val="237BDC39"/>
    <w:rsid w:val="2384F636"/>
    <w:rsid w:val="24B48EDB"/>
    <w:rsid w:val="25B4BF30"/>
    <w:rsid w:val="25C9C594"/>
    <w:rsid w:val="28350A4A"/>
    <w:rsid w:val="290A71BB"/>
    <w:rsid w:val="2A0F8F34"/>
    <w:rsid w:val="2AE0388E"/>
    <w:rsid w:val="2B250000"/>
    <w:rsid w:val="2BD11AD2"/>
    <w:rsid w:val="2CAC0E4F"/>
    <w:rsid w:val="2DA00470"/>
    <w:rsid w:val="2DDED513"/>
    <w:rsid w:val="2E645462"/>
    <w:rsid w:val="2E97FB5B"/>
    <w:rsid w:val="2F10D8C9"/>
    <w:rsid w:val="2F1FE61F"/>
    <w:rsid w:val="304BE823"/>
    <w:rsid w:val="30CCDC03"/>
    <w:rsid w:val="30D24945"/>
    <w:rsid w:val="30FEBE7F"/>
    <w:rsid w:val="31CBD8AF"/>
    <w:rsid w:val="31DB83AA"/>
    <w:rsid w:val="3259E410"/>
    <w:rsid w:val="32D1D92E"/>
    <w:rsid w:val="3338EA7E"/>
    <w:rsid w:val="33C428E5"/>
    <w:rsid w:val="3570E268"/>
    <w:rsid w:val="35AA2388"/>
    <w:rsid w:val="360039B9"/>
    <w:rsid w:val="3696CEF4"/>
    <w:rsid w:val="36CE2E57"/>
    <w:rsid w:val="3715E059"/>
    <w:rsid w:val="3754CF14"/>
    <w:rsid w:val="37A862B9"/>
    <w:rsid w:val="38E19367"/>
    <w:rsid w:val="3989A0C3"/>
    <w:rsid w:val="39F5770C"/>
    <w:rsid w:val="3AF2CFF7"/>
    <w:rsid w:val="3B6DF2F8"/>
    <w:rsid w:val="3BABAF2C"/>
    <w:rsid w:val="3CFFCA9B"/>
    <w:rsid w:val="3D308DE4"/>
    <w:rsid w:val="3E61F749"/>
    <w:rsid w:val="3F0AA092"/>
    <w:rsid w:val="419AADAA"/>
    <w:rsid w:val="41E13E29"/>
    <w:rsid w:val="41E2DEB5"/>
    <w:rsid w:val="43357205"/>
    <w:rsid w:val="439A33E5"/>
    <w:rsid w:val="440148AB"/>
    <w:rsid w:val="458064E7"/>
    <w:rsid w:val="46AA5F38"/>
    <w:rsid w:val="480D9622"/>
    <w:rsid w:val="48113C03"/>
    <w:rsid w:val="489BB31D"/>
    <w:rsid w:val="48C3104B"/>
    <w:rsid w:val="48FD97F5"/>
    <w:rsid w:val="491A13C9"/>
    <w:rsid w:val="4969A796"/>
    <w:rsid w:val="4A86C5C6"/>
    <w:rsid w:val="4AEC2443"/>
    <w:rsid w:val="4B033365"/>
    <w:rsid w:val="4CF71F3C"/>
    <w:rsid w:val="4D62A737"/>
    <w:rsid w:val="4E00B59B"/>
    <w:rsid w:val="50C20DF1"/>
    <w:rsid w:val="51EDCF3B"/>
    <w:rsid w:val="51FB4EFF"/>
    <w:rsid w:val="520ADB4B"/>
    <w:rsid w:val="571CDA8E"/>
    <w:rsid w:val="57E57E9E"/>
    <w:rsid w:val="58359340"/>
    <w:rsid w:val="584A086F"/>
    <w:rsid w:val="58D11AB7"/>
    <w:rsid w:val="58FCAFEE"/>
    <w:rsid w:val="5ABEB5EE"/>
    <w:rsid w:val="5B1B3C87"/>
    <w:rsid w:val="5B3B2725"/>
    <w:rsid w:val="5BB96C30"/>
    <w:rsid w:val="5C36F8C2"/>
    <w:rsid w:val="5C3C92DA"/>
    <w:rsid w:val="5C6F911D"/>
    <w:rsid w:val="5CC4DE8A"/>
    <w:rsid w:val="5E151D53"/>
    <w:rsid w:val="5E583A75"/>
    <w:rsid w:val="5EB15873"/>
    <w:rsid w:val="5EC62D94"/>
    <w:rsid w:val="5FF701E2"/>
    <w:rsid w:val="60214323"/>
    <w:rsid w:val="62EB7230"/>
    <w:rsid w:val="62F61A59"/>
    <w:rsid w:val="650F9982"/>
    <w:rsid w:val="659FBB94"/>
    <w:rsid w:val="65D8F8E2"/>
    <w:rsid w:val="667E1D24"/>
    <w:rsid w:val="699E6B9B"/>
    <w:rsid w:val="69F66573"/>
    <w:rsid w:val="6A205256"/>
    <w:rsid w:val="6B6BB327"/>
    <w:rsid w:val="6E20DE14"/>
    <w:rsid w:val="6ECB9557"/>
    <w:rsid w:val="6F188404"/>
    <w:rsid w:val="6F23ED2D"/>
    <w:rsid w:val="705E00E2"/>
    <w:rsid w:val="73D08EAD"/>
    <w:rsid w:val="7461E1F8"/>
    <w:rsid w:val="7473C1E7"/>
    <w:rsid w:val="74F83B05"/>
    <w:rsid w:val="7574E99A"/>
    <w:rsid w:val="75A5E42A"/>
    <w:rsid w:val="7648ED17"/>
    <w:rsid w:val="7655A3D1"/>
    <w:rsid w:val="78B9F2CF"/>
    <w:rsid w:val="79342DA6"/>
    <w:rsid w:val="79C8AB8F"/>
    <w:rsid w:val="7B7291AB"/>
    <w:rsid w:val="7BAF3D1A"/>
    <w:rsid w:val="7C961E68"/>
    <w:rsid w:val="7CE4C8C6"/>
    <w:rsid w:val="7DA04FBD"/>
    <w:rsid w:val="7F365BC7"/>
    <w:rsid w:val="7FA56D52"/>
    <w:rsid w:val="7FD1BA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DF28"/>
  <w15:chartTrackingRefBased/>
  <w15:docId w15:val="{0D4A0774-2725-4B03-837A-D3532B54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914"/>
    <w:rPr>
      <w:rFonts w:eastAsiaTheme="majorEastAsia" w:cstheme="majorBidi"/>
      <w:color w:val="272727" w:themeColor="text1" w:themeTint="D8"/>
    </w:rPr>
  </w:style>
  <w:style w:type="paragraph" w:styleId="Title">
    <w:name w:val="Title"/>
    <w:basedOn w:val="Normal"/>
    <w:next w:val="Normal"/>
    <w:link w:val="TitleChar"/>
    <w:uiPriority w:val="10"/>
    <w:qFormat/>
    <w:rsid w:val="00673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914"/>
    <w:pPr>
      <w:spacing w:before="160"/>
      <w:jc w:val="center"/>
    </w:pPr>
    <w:rPr>
      <w:i/>
      <w:iCs/>
      <w:color w:val="404040" w:themeColor="text1" w:themeTint="BF"/>
    </w:rPr>
  </w:style>
  <w:style w:type="character" w:customStyle="1" w:styleId="QuoteChar">
    <w:name w:val="Quote Char"/>
    <w:basedOn w:val="DefaultParagraphFont"/>
    <w:link w:val="Quote"/>
    <w:uiPriority w:val="29"/>
    <w:rsid w:val="00673914"/>
    <w:rPr>
      <w:i/>
      <w:iCs/>
      <w:color w:val="404040" w:themeColor="text1" w:themeTint="BF"/>
    </w:rPr>
  </w:style>
  <w:style w:type="paragraph" w:styleId="ListParagraph">
    <w:name w:val="List Paragraph"/>
    <w:basedOn w:val="Normal"/>
    <w:uiPriority w:val="34"/>
    <w:qFormat/>
    <w:rsid w:val="00673914"/>
    <w:pPr>
      <w:ind w:left="720"/>
      <w:contextualSpacing/>
    </w:pPr>
  </w:style>
  <w:style w:type="character" w:styleId="IntenseEmphasis">
    <w:name w:val="Intense Emphasis"/>
    <w:basedOn w:val="DefaultParagraphFont"/>
    <w:uiPriority w:val="21"/>
    <w:qFormat/>
    <w:rsid w:val="00673914"/>
    <w:rPr>
      <w:i/>
      <w:iCs/>
      <w:color w:val="0F4761" w:themeColor="accent1" w:themeShade="BF"/>
    </w:rPr>
  </w:style>
  <w:style w:type="paragraph" w:styleId="IntenseQuote">
    <w:name w:val="Intense Quote"/>
    <w:basedOn w:val="Normal"/>
    <w:next w:val="Normal"/>
    <w:link w:val="IntenseQuoteChar"/>
    <w:uiPriority w:val="30"/>
    <w:qFormat/>
    <w:rsid w:val="00673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914"/>
    <w:rPr>
      <w:i/>
      <w:iCs/>
      <w:color w:val="0F4761" w:themeColor="accent1" w:themeShade="BF"/>
    </w:rPr>
  </w:style>
  <w:style w:type="character" w:styleId="IntenseReference">
    <w:name w:val="Intense Reference"/>
    <w:basedOn w:val="DefaultParagraphFont"/>
    <w:uiPriority w:val="32"/>
    <w:qFormat/>
    <w:rsid w:val="00673914"/>
    <w:rPr>
      <w:b/>
      <w:bCs/>
      <w:smallCaps/>
      <w:color w:val="0F4761" w:themeColor="accent1" w:themeShade="BF"/>
      <w:spacing w:val="5"/>
    </w:rPr>
  </w:style>
  <w:style w:type="table" w:styleId="TableGrid">
    <w:name w:val="Table Grid"/>
    <w:basedOn w:val="TableNormal"/>
    <w:uiPriority w:val="39"/>
    <w:rsid w:val="0067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2475</Characters>
  <Application>Microsoft Office Word</Application>
  <DocSecurity>0</DocSecurity>
  <Lines>275</Lines>
  <Paragraphs>106</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Clark</dc:creator>
  <cp:keywords/>
  <dc:description/>
  <cp:lastModifiedBy>Peter Clark</cp:lastModifiedBy>
  <cp:revision>2</cp:revision>
  <dcterms:created xsi:type="dcterms:W3CDTF">2026-01-08T12:39:00Z</dcterms:created>
  <dcterms:modified xsi:type="dcterms:W3CDTF">2026-01-08T12:39:00Z</dcterms:modified>
</cp:coreProperties>
</file>