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10502"/>
      </w:tblGrid>
      <w:tr w:rsidR="00673914" w14:paraId="24818634" w14:textId="77777777" w:rsidTr="12D92009">
        <w:trPr>
          <w:trHeight w:val="335"/>
        </w:trPr>
        <w:tc>
          <w:tcPr>
            <w:tcW w:w="10502" w:type="dxa"/>
            <w:tcBorders>
              <w:bottom w:val="nil"/>
            </w:tcBorders>
          </w:tcPr>
          <w:p w14:paraId="3B4D99D1" w14:textId="667B8FFF" w:rsidR="00E825DD" w:rsidRPr="00E825DD" w:rsidRDefault="00E825DD">
            <w:pPr>
              <w:rPr>
                <w:b/>
                <w:bCs/>
              </w:rPr>
            </w:pPr>
            <w:r w:rsidRPr="00E825DD">
              <w:rPr>
                <w:b/>
                <w:bCs/>
              </w:rPr>
              <w:t>Presentation Title:</w:t>
            </w:r>
          </w:p>
          <w:p w14:paraId="07BC64ED" w14:textId="77777777" w:rsidR="00E825DD" w:rsidRDefault="00E825DD"/>
          <w:p w14:paraId="15D6FF78" w14:textId="2B12B527" w:rsidR="00673914" w:rsidRPr="00356193" w:rsidRDefault="00C9256C">
            <w:r>
              <w:t>Insights to Action</w:t>
            </w:r>
            <w:r w:rsidR="000E7797">
              <w:t xml:space="preserve">.  </w:t>
            </w:r>
            <w:r w:rsidR="00435CD1">
              <w:t>Lightning Talk 2</w:t>
            </w:r>
          </w:p>
          <w:p w14:paraId="4E5B6D6B" w14:textId="1CCCD925" w:rsidR="00673914" w:rsidRPr="00356193" w:rsidRDefault="00673914"/>
        </w:tc>
      </w:tr>
      <w:tr w:rsidR="00673914" w14:paraId="411FF577" w14:textId="77777777" w:rsidTr="12D92009">
        <w:trPr>
          <w:trHeight w:val="309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180634B0" w14:textId="77777777" w:rsidR="00673914" w:rsidRDefault="00673914"/>
        </w:tc>
      </w:tr>
      <w:tr w:rsidR="00673914" w14:paraId="08864FF2" w14:textId="77777777" w:rsidTr="12D92009">
        <w:trPr>
          <w:trHeight w:val="309"/>
        </w:trPr>
        <w:tc>
          <w:tcPr>
            <w:tcW w:w="10502" w:type="dxa"/>
            <w:tcBorders>
              <w:bottom w:val="nil"/>
            </w:tcBorders>
          </w:tcPr>
          <w:p w14:paraId="41066252" w14:textId="77777777" w:rsidR="0010692D" w:rsidRPr="006B553B" w:rsidRDefault="0010692D" w:rsidP="0010692D">
            <w:pPr>
              <w:rPr>
                <w:b/>
                <w:bCs/>
                <w:color w:val="EE0000"/>
              </w:rPr>
            </w:pPr>
            <w:r w:rsidRPr="006B553B">
              <w:rPr>
                <w:b/>
                <w:bCs/>
              </w:rPr>
              <w:t xml:space="preserve">Presentation Author and Institution: </w:t>
            </w:r>
          </w:p>
          <w:p w14:paraId="7695D7F5" w14:textId="77777777" w:rsidR="00E825DD" w:rsidRDefault="00E825DD"/>
          <w:p w14:paraId="0218B28C" w14:textId="2D502485" w:rsidR="00673914" w:rsidRDefault="00B92F16">
            <w:r>
              <w:t>Chloe Price-Lonsdale</w:t>
            </w:r>
            <w:r w:rsidR="00606EB5">
              <w:t xml:space="preserve"> : Royal Holloway, University of London</w:t>
            </w:r>
          </w:p>
        </w:tc>
      </w:tr>
      <w:tr w:rsidR="00673914" w14:paraId="0DE329A4" w14:textId="77777777" w:rsidTr="12D92009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23B5BB67" w14:textId="77777777" w:rsidR="00673914" w:rsidRDefault="00673914"/>
        </w:tc>
      </w:tr>
      <w:tr w:rsidR="00673914" w14:paraId="339758C3" w14:textId="77777777" w:rsidTr="12D92009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45E74B83" w14:textId="64831438" w:rsidR="00673914" w:rsidRPr="00151803" w:rsidRDefault="1F29256F">
            <w:pPr>
              <w:rPr>
                <w:b/>
                <w:bCs/>
              </w:rPr>
            </w:pPr>
            <w:r w:rsidRPr="00151803">
              <w:rPr>
                <w:b/>
                <w:bCs/>
              </w:rPr>
              <w:t>Key Themes:</w:t>
            </w:r>
            <w:r w:rsidR="76B3D3DB" w:rsidRPr="00151803">
              <w:rPr>
                <w:b/>
                <w:bCs/>
              </w:rPr>
              <w:t xml:space="preserve"> </w:t>
            </w:r>
          </w:p>
          <w:p w14:paraId="1A19828E" w14:textId="5FD02B43" w:rsidR="7B82F6A2" w:rsidRDefault="7B82F6A2"/>
          <w:p w14:paraId="4DFF6E7C" w14:textId="77777777" w:rsidR="00227959" w:rsidRDefault="003F2D4E" w:rsidP="00006852">
            <w:r>
              <w:t xml:space="preserve">Chloe was presenting on behalf of a library project team that had been looking at </w:t>
            </w:r>
            <w:r w:rsidR="00A84200">
              <w:t>making services more accessible</w:t>
            </w:r>
            <w:r w:rsidR="009A1A18">
              <w:t xml:space="preserve"> to </w:t>
            </w:r>
            <w:r w:rsidR="004C5FCD">
              <w:t>neurodiver</w:t>
            </w:r>
            <w:r w:rsidR="00006852">
              <w:t>gent students</w:t>
            </w:r>
            <w:r w:rsidR="00227959">
              <w:t xml:space="preserve">.  </w:t>
            </w:r>
          </w:p>
          <w:p w14:paraId="05A5C402" w14:textId="77777777" w:rsidR="00227959" w:rsidRDefault="00227959" w:rsidP="00006852"/>
          <w:p w14:paraId="34B6AD74" w14:textId="67C0577B" w:rsidR="229ACCCF" w:rsidRDefault="00F70C76" w:rsidP="00227959">
            <w:pPr>
              <w:pStyle w:val="ListParagraph"/>
              <w:numPr>
                <w:ilvl w:val="0"/>
                <w:numId w:val="5"/>
              </w:numPr>
            </w:pPr>
            <w:r>
              <w:t xml:space="preserve">UX </w:t>
            </w:r>
            <w:r w:rsidR="00A84200">
              <w:t xml:space="preserve">Methodologies used </w:t>
            </w:r>
            <w:r w:rsidR="00253251">
              <w:t>to gather student feedback</w:t>
            </w:r>
            <w:r w:rsidR="002B3939">
              <w:t xml:space="preserve"> and to </w:t>
            </w:r>
            <w:r w:rsidR="00AE7620">
              <w:t>collate outcomes.</w:t>
            </w:r>
          </w:p>
          <w:p w14:paraId="01E40EBC" w14:textId="61B0F35C" w:rsidR="00253251" w:rsidRDefault="00CA0963" w:rsidP="7B82F6A2">
            <w:pPr>
              <w:pStyle w:val="ListParagraph"/>
              <w:numPr>
                <w:ilvl w:val="0"/>
                <w:numId w:val="2"/>
              </w:numPr>
            </w:pPr>
            <w:r>
              <w:t>The importance of obtaining ethics approval</w:t>
            </w:r>
          </w:p>
          <w:p w14:paraId="5EC12AE4" w14:textId="75FE0D10" w:rsidR="00DF05AD" w:rsidRDefault="00CC0E77" w:rsidP="00253251">
            <w:pPr>
              <w:pStyle w:val="ListParagraph"/>
              <w:numPr>
                <w:ilvl w:val="0"/>
                <w:numId w:val="2"/>
              </w:numPr>
              <w:rPr>
                <w:color w:val="EE0000"/>
              </w:rPr>
            </w:pPr>
            <w:r w:rsidRPr="00F70C76">
              <w:t xml:space="preserve">Using </w:t>
            </w:r>
            <w:r w:rsidR="00CD11B8">
              <w:t xml:space="preserve">this research and </w:t>
            </w:r>
            <w:r w:rsidR="00F70C76">
              <w:t>data to drive actions</w:t>
            </w:r>
            <w:r w:rsidR="00707FCD">
              <w:t xml:space="preserve"> and </w:t>
            </w:r>
            <w:r w:rsidR="00CD11B8">
              <w:t>improvements</w:t>
            </w:r>
          </w:p>
        </w:tc>
      </w:tr>
      <w:tr w:rsidR="004E16CF" w14:paraId="5813D841" w14:textId="77777777" w:rsidTr="12D92009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03C0EB92" w14:textId="77777777" w:rsidR="00A747D6" w:rsidRPr="00151803" w:rsidRDefault="45A9AAD1" w:rsidP="7B82F6A2">
            <w:pPr>
              <w:rPr>
                <w:b/>
                <w:bCs/>
              </w:rPr>
            </w:pPr>
            <w:r w:rsidRPr="00151803">
              <w:rPr>
                <w:b/>
                <w:bCs/>
              </w:rPr>
              <w:t xml:space="preserve">Summary of presentation: </w:t>
            </w:r>
          </w:p>
          <w:p w14:paraId="4D88E1A9" w14:textId="77777777" w:rsidR="00A747D6" w:rsidRDefault="00A747D6" w:rsidP="7B82F6A2"/>
          <w:p w14:paraId="389D161C" w14:textId="3E7F3843" w:rsidR="004E16CF" w:rsidRDefault="009903EF" w:rsidP="7B82F6A2">
            <w:r>
              <w:t xml:space="preserve">The Library </w:t>
            </w:r>
            <w:r w:rsidR="00BA7B36">
              <w:t xml:space="preserve">needed to </w:t>
            </w:r>
            <w:r w:rsidR="00A747D6">
              <w:t xml:space="preserve">respond to indirect feedback </w:t>
            </w:r>
            <w:r w:rsidR="00621C9F">
              <w:t>from the University that some students had reported feeling uncomfortable in the library</w:t>
            </w:r>
            <w:r w:rsidR="006D3E18">
              <w:t xml:space="preserve">, but not with </w:t>
            </w:r>
            <w:r w:rsidR="00125CC3">
              <w:t xml:space="preserve">the </w:t>
            </w:r>
            <w:r w:rsidR="006D3E18">
              <w:t>specific details</w:t>
            </w:r>
            <w:r w:rsidR="00125CC3">
              <w:t xml:space="preserve"> that </w:t>
            </w:r>
            <w:r w:rsidR="00105A03">
              <w:t>might</w:t>
            </w:r>
            <w:r w:rsidR="00125CC3">
              <w:t xml:space="preserve"> </w:t>
            </w:r>
            <w:r w:rsidR="00B558BB">
              <w:t>lead to</w:t>
            </w:r>
            <w:r w:rsidR="00105A03">
              <w:t xml:space="preserve"> immediate action</w:t>
            </w:r>
            <w:r w:rsidR="006D3E18">
              <w:t>.</w:t>
            </w:r>
            <w:r w:rsidR="00105A03">
              <w:t xml:space="preserve">  </w:t>
            </w:r>
            <w:r w:rsidR="0071163B">
              <w:t xml:space="preserve">Using </w:t>
            </w:r>
            <w:r w:rsidR="00C540B2">
              <w:t xml:space="preserve">suggestions from </w:t>
            </w:r>
            <w:r w:rsidR="00744B34">
              <w:t>Andy Priestner’s</w:t>
            </w:r>
            <w:r w:rsidR="00C540B2">
              <w:t xml:space="preserve"> UX </w:t>
            </w:r>
            <w:r w:rsidR="00744B34">
              <w:t xml:space="preserve"> </w:t>
            </w:r>
            <w:r w:rsidR="00C12718">
              <w:t xml:space="preserve">guide, a project team </w:t>
            </w:r>
            <w:r w:rsidR="00915788">
              <w:t xml:space="preserve">was formed to run semi structured interviews with students.  Ethics approval was sought </w:t>
            </w:r>
            <w:r w:rsidR="002A77CB">
              <w:t xml:space="preserve">as they recognised that the information that they were gathering may be sensitive.  The team </w:t>
            </w:r>
            <w:r w:rsidR="00F75561">
              <w:t xml:space="preserve">used </w:t>
            </w:r>
            <w:r w:rsidR="002A77CB">
              <w:t>role play</w:t>
            </w:r>
            <w:r w:rsidR="00F75561">
              <w:t>ing</w:t>
            </w:r>
            <w:r w:rsidR="002A77CB">
              <w:t xml:space="preserve"> </w:t>
            </w:r>
            <w:r w:rsidR="00BE0201">
              <w:t xml:space="preserve">to refine their </w:t>
            </w:r>
            <w:r w:rsidR="00F75561">
              <w:t xml:space="preserve">interview </w:t>
            </w:r>
            <w:r w:rsidR="00BE0201">
              <w:t>approach</w:t>
            </w:r>
            <w:r w:rsidR="0086706B">
              <w:t>.</w:t>
            </w:r>
          </w:p>
          <w:p w14:paraId="0C057B6A" w14:textId="77777777" w:rsidR="0086706B" w:rsidRDefault="0086706B" w:rsidP="7B82F6A2">
            <w:pPr>
              <w:rPr>
                <w:b/>
                <w:bCs/>
              </w:rPr>
            </w:pPr>
          </w:p>
          <w:p w14:paraId="753978EC" w14:textId="0495954C" w:rsidR="0086706B" w:rsidRDefault="00C122A7" w:rsidP="7B82F6A2">
            <w:r>
              <w:t>In person i</w:t>
            </w:r>
            <w:r w:rsidR="000343F3">
              <w:t>nterviews were held with</w:t>
            </w:r>
            <w:r w:rsidR="0086706B">
              <w:t xml:space="preserve">14 students </w:t>
            </w:r>
            <w:r w:rsidR="005D656A">
              <w:t xml:space="preserve">with some </w:t>
            </w:r>
            <w:r w:rsidR="00A06F7C">
              <w:t xml:space="preserve">choosing an </w:t>
            </w:r>
            <w:r w:rsidR="003B7F15">
              <w:t>online</w:t>
            </w:r>
            <w:r w:rsidR="00A06F7C">
              <w:t xml:space="preserve"> </w:t>
            </w:r>
            <w:r>
              <w:t>interview</w:t>
            </w:r>
            <w:r w:rsidR="003B7F15">
              <w:t xml:space="preserve">. Using affinity </w:t>
            </w:r>
            <w:r w:rsidR="003C5D09">
              <w:t>mapping</w:t>
            </w:r>
            <w:r w:rsidR="00911308">
              <w:t xml:space="preserve">, the team </w:t>
            </w:r>
            <w:r w:rsidR="0010603D">
              <w:t xml:space="preserve">grouped the results </w:t>
            </w:r>
            <w:r w:rsidR="002A23D1">
              <w:t xml:space="preserve">and </w:t>
            </w:r>
            <w:r w:rsidR="00FA35AB">
              <w:t xml:space="preserve">then </w:t>
            </w:r>
            <w:r w:rsidR="00305930">
              <w:t xml:space="preserve">a </w:t>
            </w:r>
            <w:r w:rsidR="00475494">
              <w:t>“</w:t>
            </w:r>
            <w:r w:rsidR="00305930">
              <w:t>How, Now, Wow</w:t>
            </w:r>
            <w:r w:rsidR="00FA35AB">
              <w:t>”</w:t>
            </w:r>
            <w:r w:rsidR="00305930">
              <w:t xml:space="preserve"> matrix </w:t>
            </w:r>
            <w:r w:rsidR="00FA35AB">
              <w:t xml:space="preserve">to brainstorm </w:t>
            </w:r>
            <w:r w:rsidR="007E481B">
              <w:t xml:space="preserve">ideas in to an </w:t>
            </w:r>
            <w:r w:rsidR="002A23D1">
              <w:t>action plan</w:t>
            </w:r>
            <w:r w:rsidR="00EF3727">
              <w:t xml:space="preserve">.  </w:t>
            </w:r>
            <w:r w:rsidR="00012B9C">
              <w:t xml:space="preserve">The group </w:t>
            </w:r>
            <w:r w:rsidR="007E481B">
              <w:t xml:space="preserve">was able to draw upon </w:t>
            </w:r>
            <w:r w:rsidR="00012B9C">
              <w:t xml:space="preserve">the expertise of its members </w:t>
            </w:r>
            <w:r w:rsidR="00474C42">
              <w:t xml:space="preserve">and </w:t>
            </w:r>
            <w:r w:rsidR="008F7D32">
              <w:t>produced a series of recommendations</w:t>
            </w:r>
            <w:r w:rsidR="00CD1F5D">
              <w:t xml:space="preserve"> of which many were quick wins.</w:t>
            </w:r>
          </w:p>
          <w:p w14:paraId="5D0B243F" w14:textId="77777777" w:rsidR="00D4169A" w:rsidRDefault="00D4169A" w:rsidP="7B82F6A2"/>
          <w:p w14:paraId="6742B834" w14:textId="6DEABB70" w:rsidR="00D4169A" w:rsidRDefault="00D4169A" w:rsidP="7B82F6A2">
            <w:r>
              <w:t>The group reflected on the outcomes</w:t>
            </w:r>
            <w:r w:rsidR="002037A3">
              <w:t xml:space="preserve"> and </w:t>
            </w:r>
            <w:r w:rsidR="0077132F">
              <w:t>that students had fed back that the process had made them feel valued.</w:t>
            </w:r>
          </w:p>
          <w:p w14:paraId="3A348F96" w14:textId="77777777" w:rsidR="00CD1F5D" w:rsidRDefault="00CD1F5D" w:rsidP="7B82F6A2"/>
          <w:p w14:paraId="7D65F135" w14:textId="77777777" w:rsidR="004E16CF" w:rsidRDefault="004E16CF" w:rsidP="7B82F6A2"/>
          <w:p w14:paraId="5DA6839C" w14:textId="10991F23" w:rsidR="004E16CF" w:rsidRDefault="004E16CF" w:rsidP="00645464">
            <w:pPr>
              <w:rPr>
                <w:color w:val="EE0000"/>
              </w:rPr>
            </w:pPr>
          </w:p>
        </w:tc>
      </w:tr>
      <w:tr w:rsidR="004E16CF" w14:paraId="09530E1B" w14:textId="77777777" w:rsidTr="12D92009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15F628E0" w14:textId="6125B797" w:rsidR="004E16CF" w:rsidRPr="00151803" w:rsidRDefault="45A9AAD1" w:rsidP="004E16CF">
            <w:pPr>
              <w:rPr>
                <w:b/>
                <w:bCs/>
              </w:rPr>
            </w:pPr>
            <w:r w:rsidRPr="00151803">
              <w:rPr>
                <w:b/>
                <w:bCs/>
              </w:rPr>
              <w:t>How Might it Apply to CS in libraries</w:t>
            </w:r>
            <w:r w:rsidR="0077132F" w:rsidRPr="00151803">
              <w:rPr>
                <w:b/>
                <w:bCs/>
              </w:rPr>
              <w:t>:</w:t>
            </w:r>
          </w:p>
          <w:p w14:paraId="73C509B5" w14:textId="156D849E" w:rsidR="004E16CF" w:rsidRDefault="004E16CF" w:rsidP="004E16CF"/>
          <w:p w14:paraId="44C784F5" w14:textId="77777777" w:rsidR="009B042D" w:rsidRDefault="0077537C" w:rsidP="7B82F6A2">
            <w:pPr>
              <w:pStyle w:val="ListParagraph"/>
              <w:numPr>
                <w:ilvl w:val="0"/>
                <w:numId w:val="1"/>
              </w:numPr>
            </w:pPr>
            <w:r>
              <w:t xml:space="preserve">Important to plan </w:t>
            </w:r>
            <w:r w:rsidR="009B042D">
              <w:t>approaches in detail before proceeding.</w:t>
            </w:r>
          </w:p>
          <w:p w14:paraId="4368CD06" w14:textId="27354464" w:rsidR="004E16CF" w:rsidRDefault="00A277D8" w:rsidP="7B82F6A2">
            <w:pPr>
              <w:pStyle w:val="ListParagraph"/>
              <w:numPr>
                <w:ilvl w:val="0"/>
                <w:numId w:val="1"/>
              </w:numPr>
            </w:pPr>
            <w:r>
              <w:t xml:space="preserve">Being flexible </w:t>
            </w:r>
            <w:r w:rsidR="00B844BE">
              <w:t xml:space="preserve">to make adjustments </w:t>
            </w:r>
            <w:r w:rsidR="00FF50BB">
              <w:t xml:space="preserve">to meet </w:t>
            </w:r>
            <w:r w:rsidR="00151C83">
              <w:t>specific requirements of student interviewees.</w:t>
            </w:r>
          </w:p>
          <w:p w14:paraId="69A8BC77" w14:textId="34E0DBB1" w:rsidR="004E16CF" w:rsidRDefault="00151C83" w:rsidP="7B82F6A2">
            <w:pPr>
              <w:pStyle w:val="ListParagraph"/>
              <w:numPr>
                <w:ilvl w:val="0"/>
                <w:numId w:val="1"/>
              </w:numPr>
            </w:pPr>
            <w:r>
              <w:t xml:space="preserve">Start </w:t>
            </w:r>
            <w:r w:rsidR="003A7C46">
              <w:t>as if money is no object</w:t>
            </w:r>
            <w:r w:rsidR="00CA2EF5">
              <w:t xml:space="preserve"> with your proposals</w:t>
            </w:r>
            <w:r w:rsidR="00BC48FA">
              <w:t xml:space="preserve">, and then work to </w:t>
            </w:r>
            <w:r w:rsidR="00F13405">
              <w:t>turn these in to impactful and realistic actions.</w:t>
            </w:r>
            <w:r w:rsidR="00CA2EF5">
              <w:t xml:space="preserve"> </w:t>
            </w:r>
          </w:p>
        </w:tc>
      </w:tr>
      <w:tr w:rsidR="00673914" w14:paraId="1ECA9CAB" w14:textId="77777777" w:rsidTr="12D92009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50351099" w14:textId="77777777" w:rsidR="00673914" w:rsidRDefault="00673914"/>
        </w:tc>
      </w:tr>
      <w:tr w:rsidR="00F6328A" w14:paraId="552F18A2" w14:textId="77777777" w:rsidTr="12D92009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78EA7247" w14:textId="7C7E42A0" w:rsidR="00F6328A" w:rsidRDefault="40F31AEE" w:rsidP="090E92CF">
            <w:pPr>
              <w:rPr>
                <w:color w:val="EE0000"/>
              </w:rPr>
            </w:pPr>
            <w:r w:rsidRPr="00151803">
              <w:rPr>
                <w:b/>
                <w:bCs/>
              </w:rPr>
              <w:t>Abstract author:</w:t>
            </w:r>
            <w:r>
              <w:t xml:space="preserve">  </w:t>
            </w:r>
            <w:r w:rsidR="00F13405">
              <w:t>Julian Roland</w:t>
            </w:r>
            <w:r w:rsidR="5EBA89AA">
              <w:t xml:space="preserve">, Head of Library </w:t>
            </w:r>
            <w:r w:rsidR="00F13405">
              <w:t>Service Delivery, University of West London</w:t>
            </w:r>
          </w:p>
        </w:tc>
      </w:tr>
    </w:tbl>
    <w:p w14:paraId="7BC1CC32" w14:textId="77777777" w:rsidR="002365B3" w:rsidRDefault="002365B3"/>
    <w:sectPr w:rsidR="002365B3" w:rsidSect="00DF0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100"/>
    <w:multiLevelType w:val="hybridMultilevel"/>
    <w:tmpl w:val="7CB6F4C4"/>
    <w:lvl w:ilvl="0" w:tplc="B2C01AFE">
      <w:start w:val="1"/>
      <w:numFmt w:val="decimal"/>
      <w:lvlText w:val="%1."/>
      <w:lvlJc w:val="left"/>
      <w:pPr>
        <w:ind w:left="720" w:hanging="360"/>
      </w:pPr>
      <w:rPr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7730"/>
    <w:multiLevelType w:val="hybridMultilevel"/>
    <w:tmpl w:val="979A7066"/>
    <w:lvl w:ilvl="0" w:tplc="5DD8A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9DE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5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4E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CD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81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7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C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37FC9"/>
    <w:multiLevelType w:val="hybridMultilevel"/>
    <w:tmpl w:val="FACE467E"/>
    <w:lvl w:ilvl="0" w:tplc="C478D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4A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C5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E8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CA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64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C4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4F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632ED"/>
    <w:multiLevelType w:val="hybridMultilevel"/>
    <w:tmpl w:val="F362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85C6A"/>
    <w:multiLevelType w:val="hybridMultilevel"/>
    <w:tmpl w:val="770EF85C"/>
    <w:lvl w:ilvl="0" w:tplc="7B480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82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4F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0C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6F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AA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C5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CE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8D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97261">
    <w:abstractNumId w:val="4"/>
  </w:num>
  <w:num w:numId="2" w16cid:durableId="1110130595">
    <w:abstractNumId w:val="1"/>
  </w:num>
  <w:num w:numId="3" w16cid:durableId="1408845036">
    <w:abstractNumId w:val="2"/>
  </w:num>
  <w:num w:numId="4" w16cid:durableId="564143796">
    <w:abstractNumId w:val="0"/>
  </w:num>
  <w:num w:numId="5" w16cid:durableId="2022779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14"/>
    <w:rsid w:val="00006852"/>
    <w:rsid w:val="00012B9C"/>
    <w:rsid w:val="000343F3"/>
    <w:rsid w:val="00041730"/>
    <w:rsid w:val="000A2346"/>
    <w:rsid w:val="000C4877"/>
    <w:rsid w:val="000E7797"/>
    <w:rsid w:val="00105A03"/>
    <w:rsid w:val="0010603D"/>
    <w:rsid w:val="0010692D"/>
    <w:rsid w:val="001216DB"/>
    <w:rsid w:val="00125CC3"/>
    <w:rsid w:val="00125DF1"/>
    <w:rsid w:val="00125E5B"/>
    <w:rsid w:val="00151803"/>
    <w:rsid w:val="00151C83"/>
    <w:rsid w:val="001E3B51"/>
    <w:rsid w:val="002037A3"/>
    <w:rsid w:val="00227959"/>
    <w:rsid w:val="002365B3"/>
    <w:rsid w:val="00253251"/>
    <w:rsid w:val="00264B0B"/>
    <w:rsid w:val="002938FC"/>
    <w:rsid w:val="002A23D1"/>
    <w:rsid w:val="002A77CB"/>
    <w:rsid w:val="002B2D05"/>
    <w:rsid w:val="002B3939"/>
    <w:rsid w:val="002C439A"/>
    <w:rsid w:val="00305930"/>
    <w:rsid w:val="00356193"/>
    <w:rsid w:val="003A7C46"/>
    <w:rsid w:val="003B44E1"/>
    <w:rsid w:val="003B7F15"/>
    <w:rsid w:val="003C5D09"/>
    <w:rsid w:val="003F2D4E"/>
    <w:rsid w:val="00435CD1"/>
    <w:rsid w:val="00443C15"/>
    <w:rsid w:val="00474C42"/>
    <w:rsid w:val="00475494"/>
    <w:rsid w:val="004C5FCD"/>
    <w:rsid w:val="004E16CF"/>
    <w:rsid w:val="00536649"/>
    <w:rsid w:val="00560C6C"/>
    <w:rsid w:val="005A166D"/>
    <w:rsid w:val="005A7897"/>
    <w:rsid w:val="005D656A"/>
    <w:rsid w:val="00606EB5"/>
    <w:rsid w:val="00621C9F"/>
    <w:rsid w:val="00645464"/>
    <w:rsid w:val="00652CF6"/>
    <w:rsid w:val="00660C85"/>
    <w:rsid w:val="00673914"/>
    <w:rsid w:val="00681209"/>
    <w:rsid w:val="00694F4E"/>
    <w:rsid w:val="006D3E18"/>
    <w:rsid w:val="00707FCD"/>
    <w:rsid w:val="0071163B"/>
    <w:rsid w:val="007364C3"/>
    <w:rsid w:val="00744B34"/>
    <w:rsid w:val="0077132F"/>
    <w:rsid w:val="0077537C"/>
    <w:rsid w:val="007A57D4"/>
    <w:rsid w:val="007A7F8E"/>
    <w:rsid w:val="007C73A8"/>
    <w:rsid w:val="007E481B"/>
    <w:rsid w:val="00832D57"/>
    <w:rsid w:val="0086706B"/>
    <w:rsid w:val="008F7D32"/>
    <w:rsid w:val="00911308"/>
    <w:rsid w:val="00915788"/>
    <w:rsid w:val="00971222"/>
    <w:rsid w:val="00984303"/>
    <w:rsid w:val="009903EF"/>
    <w:rsid w:val="009A1A18"/>
    <w:rsid w:val="009A71CC"/>
    <w:rsid w:val="009B042D"/>
    <w:rsid w:val="00A06F7C"/>
    <w:rsid w:val="00A277D8"/>
    <w:rsid w:val="00A747D6"/>
    <w:rsid w:val="00A84200"/>
    <w:rsid w:val="00AA1626"/>
    <w:rsid w:val="00AE7620"/>
    <w:rsid w:val="00B03A5E"/>
    <w:rsid w:val="00B22714"/>
    <w:rsid w:val="00B558BB"/>
    <w:rsid w:val="00B57CD9"/>
    <w:rsid w:val="00B844BE"/>
    <w:rsid w:val="00B92F16"/>
    <w:rsid w:val="00BA7B36"/>
    <w:rsid w:val="00BC48FA"/>
    <w:rsid w:val="00BC4A96"/>
    <w:rsid w:val="00BE0201"/>
    <w:rsid w:val="00C122A7"/>
    <w:rsid w:val="00C12718"/>
    <w:rsid w:val="00C540B2"/>
    <w:rsid w:val="00C86FE1"/>
    <w:rsid w:val="00C8718D"/>
    <w:rsid w:val="00C9256C"/>
    <w:rsid w:val="00CA0963"/>
    <w:rsid w:val="00CA2EF5"/>
    <w:rsid w:val="00CB0B57"/>
    <w:rsid w:val="00CC0E77"/>
    <w:rsid w:val="00CD11B8"/>
    <w:rsid w:val="00CD1F5D"/>
    <w:rsid w:val="00D4169A"/>
    <w:rsid w:val="00D511F2"/>
    <w:rsid w:val="00DC6E33"/>
    <w:rsid w:val="00DF05AD"/>
    <w:rsid w:val="00E2405F"/>
    <w:rsid w:val="00E77DE7"/>
    <w:rsid w:val="00E825DD"/>
    <w:rsid w:val="00EC1FB0"/>
    <w:rsid w:val="00ED655D"/>
    <w:rsid w:val="00EF3727"/>
    <w:rsid w:val="00F11857"/>
    <w:rsid w:val="00F13405"/>
    <w:rsid w:val="00F14B8D"/>
    <w:rsid w:val="00F252B8"/>
    <w:rsid w:val="00F41363"/>
    <w:rsid w:val="00F6328A"/>
    <w:rsid w:val="00F70C76"/>
    <w:rsid w:val="00F75561"/>
    <w:rsid w:val="00F85195"/>
    <w:rsid w:val="00F85EFA"/>
    <w:rsid w:val="00F95B43"/>
    <w:rsid w:val="00FA35AB"/>
    <w:rsid w:val="00FF50BB"/>
    <w:rsid w:val="01BC1F7E"/>
    <w:rsid w:val="020616C6"/>
    <w:rsid w:val="04CAE7AA"/>
    <w:rsid w:val="06FA9EFF"/>
    <w:rsid w:val="07B886C6"/>
    <w:rsid w:val="0864379E"/>
    <w:rsid w:val="086D9D9B"/>
    <w:rsid w:val="090E92CF"/>
    <w:rsid w:val="0963DF4C"/>
    <w:rsid w:val="0AEAE662"/>
    <w:rsid w:val="0AF43A09"/>
    <w:rsid w:val="0BF39979"/>
    <w:rsid w:val="0C8AF11C"/>
    <w:rsid w:val="0CA3389A"/>
    <w:rsid w:val="0CA9D3E8"/>
    <w:rsid w:val="0D508A65"/>
    <w:rsid w:val="0E2F1FF2"/>
    <w:rsid w:val="0E626B28"/>
    <w:rsid w:val="0E7894ED"/>
    <w:rsid w:val="0E8C6C8D"/>
    <w:rsid w:val="0F9571B7"/>
    <w:rsid w:val="0FDE7B83"/>
    <w:rsid w:val="12053A8E"/>
    <w:rsid w:val="12794C86"/>
    <w:rsid w:val="12D92009"/>
    <w:rsid w:val="14537CC3"/>
    <w:rsid w:val="151D80FC"/>
    <w:rsid w:val="152C260B"/>
    <w:rsid w:val="15637DD8"/>
    <w:rsid w:val="1571BF6D"/>
    <w:rsid w:val="15FE19AE"/>
    <w:rsid w:val="16246BDA"/>
    <w:rsid w:val="1658120E"/>
    <w:rsid w:val="16FDD446"/>
    <w:rsid w:val="19141035"/>
    <w:rsid w:val="191DB272"/>
    <w:rsid w:val="192E2EEF"/>
    <w:rsid w:val="1C188934"/>
    <w:rsid w:val="1D12D1C9"/>
    <w:rsid w:val="1DDBB34B"/>
    <w:rsid w:val="1ECE4F80"/>
    <w:rsid w:val="1F29256F"/>
    <w:rsid w:val="1F2B50A6"/>
    <w:rsid w:val="1FF160C2"/>
    <w:rsid w:val="200083C3"/>
    <w:rsid w:val="2063A45A"/>
    <w:rsid w:val="20854838"/>
    <w:rsid w:val="228B8126"/>
    <w:rsid w:val="229ACCCF"/>
    <w:rsid w:val="22DDCFFB"/>
    <w:rsid w:val="2609A17A"/>
    <w:rsid w:val="26503A00"/>
    <w:rsid w:val="268AF1ED"/>
    <w:rsid w:val="28B074C5"/>
    <w:rsid w:val="2A6297D0"/>
    <w:rsid w:val="2C70D066"/>
    <w:rsid w:val="2D1250B0"/>
    <w:rsid w:val="2EAF8C3C"/>
    <w:rsid w:val="2EB88B12"/>
    <w:rsid w:val="307C712C"/>
    <w:rsid w:val="3093C73B"/>
    <w:rsid w:val="30D59BB8"/>
    <w:rsid w:val="311C0ACF"/>
    <w:rsid w:val="3194CE03"/>
    <w:rsid w:val="321553A7"/>
    <w:rsid w:val="33C5DEDD"/>
    <w:rsid w:val="33C8B640"/>
    <w:rsid w:val="3460D1B1"/>
    <w:rsid w:val="358BFA9E"/>
    <w:rsid w:val="37996634"/>
    <w:rsid w:val="37B59919"/>
    <w:rsid w:val="39091819"/>
    <w:rsid w:val="394DBBBA"/>
    <w:rsid w:val="3A195D91"/>
    <w:rsid w:val="3A60CC6A"/>
    <w:rsid w:val="3A868434"/>
    <w:rsid w:val="3D9ED39F"/>
    <w:rsid w:val="3E064B68"/>
    <w:rsid w:val="3E8F5448"/>
    <w:rsid w:val="400C6E56"/>
    <w:rsid w:val="40F31AEE"/>
    <w:rsid w:val="40FFEB1D"/>
    <w:rsid w:val="42160E11"/>
    <w:rsid w:val="4263B051"/>
    <w:rsid w:val="4282248A"/>
    <w:rsid w:val="42B289D0"/>
    <w:rsid w:val="4304851B"/>
    <w:rsid w:val="45A9AAD1"/>
    <w:rsid w:val="46098D08"/>
    <w:rsid w:val="46CB9D3A"/>
    <w:rsid w:val="47D5E9AE"/>
    <w:rsid w:val="48A29DF0"/>
    <w:rsid w:val="48CB6841"/>
    <w:rsid w:val="4926FEDB"/>
    <w:rsid w:val="49A0AB83"/>
    <w:rsid w:val="49EE399D"/>
    <w:rsid w:val="49F2D15A"/>
    <w:rsid w:val="49F95835"/>
    <w:rsid w:val="4AF62664"/>
    <w:rsid w:val="4BF9649C"/>
    <w:rsid w:val="4C47B8E9"/>
    <w:rsid w:val="4C66E6D8"/>
    <w:rsid w:val="4C8EF236"/>
    <w:rsid w:val="50300CA9"/>
    <w:rsid w:val="5094DACF"/>
    <w:rsid w:val="50BEF239"/>
    <w:rsid w:val="512B2E77"/>
    <w:rsid w:val="5144B336"/>
    <w:rsid w:val="51E670D0"/>
    <w:rsid w:val="5287D2AC"/>
    <w:rsid w:val="52A51D12"/>
    <w:rsid w:val="52B532E2"/>
    <w:rsid w:val="5419DD95"/>
    <w:rsid w:val="546C834C"/>
    <w:rsid w:val="54C163AF"/>
    <w:rsid w:val="553B016B"/>
    <w:rsid w:val="563DB73E"/>
    <w:rsid w:val="5867825A"/>
    <w:rsid w:val="59340AA6"/>
    <w:rsid w:val="59A32B6A"/>
    <w:rsid w:val="5AE7B7FC"/>
    <w:rsid w:val="5B482ABA"/>
    <w:rsid w:val="5DEAA88D"/>
    <w:rsid w:val="5E11ED84"/>
    <w:rsid w:val="5E3BB435"/>
    <w:rsid w:val="5EA81900"/>
    <w:rsid w:val="5EBA89AA"/>
    <w:rsid w:val="5FDEA72A"/>
    <w:rsid w:val="5FE2CBE2"/>
    <w:rsid w:val="605E974C"/>
    <w:rsid w:val="62FBBD89"/>
    <w:rsid w:val="63282CC8"/>
    <w:rsid w:val="634C6FFB"/>
    <w:rsid w:val="6446C68B"/>
    <w:rsid w:val="654BD740"/>
    <w:rsid w:val="6573105B"/>
    <w:rsid w:val="65D3E979"/>
    <w:rsid w:val="677F67C8"/>
    <w:rsid w:val="679854E0"/>
    <w:rsid w:val="67AAED04"/>
    <w:rsid w:val="67E1608C"/>
    <w:rsid w:val="6878D9C6"/>
    <w:rsid w:val="68F7801E"/>
    <w:rsid w:val="69E11DA6"/>
    <w:rsid w:val="6BF3448D"/>
    <w:rsid w:val="6CB9AD5F"/>
    <w:rsid w:val="6D172111"/>
    <w:rsid w:val="6D2C000F"/>
    <w:rsid w:val="6EC81F8D"/>
    <w:rsid w:val="6EE372B4"/>
    <w:rsid w:val="6EEA3063"/>
    <w:rsid w:val="7011E1E2"/>
    <w:rsid w:val="707B1E9F"/>
    <w:rsid w:val="70E2534B"/>
    <w:rsid w:val="72A23AF0"/>
    <w:rsid w:val="74CD3E4B"/>
    <w:rsid w:val="74CF4EB4"/>
    <w:rsid w:val="74F21E19"/>
    <w:rsid w:val="754D0E6E"/>
    <w:rsid w:val="758CCFC6"/>
    <w:rsid w:val="761938A6"/>
    <w:rsid w:val="76609F86"/>
    <w:rsid w:val="76956F9C"/>
    <w:rsid w:val="76B3D3DB"/>
    <w:rsid w:val="775E6897"/>
    <w:rsid w:val="786DDEEC"/>
    <w:rsid w:val="78E4DAE0"/>
    <w:rsid w:val="7AE8C0D1"/>
    <w:rsid w:val="7B2FB7AF"/>
    <w:rsid w:val="7B82F6A2"/>
    <w:rsid w:val="7CDAFBD1"/>
    <w:rsid w:val="7D1FE5FF"/>
    <w:rsid w:val="7DE835F3"/>
    <w:rsid w:val="7E5A34C2"/>
    <w:rsid w:val="7F053296"/>
    <w:rsid w:val="7F92A602"/>
    <w:rsid w:val="7FA63AD7"/>
    <w:rsid w:val="7FF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DF28"/>
  <w15:chartTrackingRefBased/>
  <w15:docId w15:val="{0D4A0774-2725-4B03-837A-D3532B54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9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270</Words>
  <Characters>1650</Characters>
  <Application>Microsoft Office Word</Application>
  <DocSecurity>0</DocSecurity>
  <Lines>183</Lines>
  <Paragraphs>71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Clark</dc:creator>
  <cp:keywords/>
  <dc:description/>
  <cp:lastModifiedBy>Peter Clark</cp:lastModifiedBy>
  <cp:revision>82</cp:revision>
  <dcterms:created xsi:type="dcterms:W3CDTF">2025-12-11T11:26:00Z</dcterms:created>
  <dcterms:modified xsi:type="dcterms:W3CDTF">2026-01-08T12:48:00Z</dcterms:modified>
</cp:coreProperties>
</file>